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01" w:rsidRPr="000D406B" w:rsidRDefault="00F17701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406B">
        <w:rPr>
          <w:rFonts w:asciiTheme="majorBidi" w:hAnsiTheme="majorBidi" w:cstheme="majorBidi"/>
          <w:b/>
          <w:bCs/>
          <w:sz w:val="24"/>
          <w:szCs w:val="24"/>
        </w:rPr>
        <w:t xml:space="preserve">Construct </w:t>
      </w:r>
      <w:r>
        <w:rPr>
          <w:rFonts w:asciiTheme="majorBidi" w:hAnsiTheme="majorBidi" w:cstheme="majorBidi"/>
          <w:b/>
          <w:bCs/>
          <w:sz w:val="24"/>
          <w:szCs w:val="24"/>
        </w:rPr>
        <w:t>Validity of the Persian Version of the Q</w:t>
      </w:r>
      <w:r w:rsidRPr="000D406B">
        <w:rPr>
          <w:rFonts w:asciiTheme="majorBidi" w:hAnsiTheme="majorBidi" w:cstheme="majorBidi"/>
          <w:b/>
          <w:bCs/>
          <w:sz w:val="24"/>
          <w:szCs w:val="24"/>
        </w:rPr>
        <w:t>uestionnaire</w:t>
      </w:r>
      <w:r w:rsidR="00151A45"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</w:p>
    <w:p w:rsidR="00F17701" w:rsidRDefault="00F17701" w:rsidP="000C4D13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236B94">
        <w:rPr>
          <w:rFonts w:asciiTheme="majorBidi" w:hAnsiTheme="majorBidi" w:cstheme="majorBidi"/>
          <w:sz w:val="24"/>
          <w:szCs w:val="24"/>
        </w:rPr>
        <w:t>Construct validity</w:t>
      </w:r>
      <w:r w:rsidR="00353D40">
        <w:rPr>
          <w:rFonts w:asciiTheme="majorBidi" w:hAnsiTheme="majorBidi" w:cstheme="majorBidi"/>
          <w:sz w:val="24"/>
          <w:szCs w:val="24"/>
        </w:rPr>
        <w:t xml:space="preserve"> of the Q</w:t>
      </w:r>
      <w:r>
        <w:rPr>
          <w:rFonts w:asciiTheme="majorBidi" w:hAnsiTheme="majorBidi" w:cstheme="majorBidi"/>
          <w:sz w:val="24"/>
          <w:szCs w:val="24"/>
        </w:rPr>
        <w:t>uestionnaire</w:t>
      </w:r>
      <w:r w:rsidR="00353D40">
        <w:rPr>
          <w:rFonts w:asciiTheme="majorBidi" w:hAnsiTheme="majorBidi" w:cstheme="majorBidi"/>
          <w:sz w:val="24"/>
          <w:szCs w:val="24"/>
        </w:rPr>
        <w:t xml:space="preserve"> A</w:t>
      </w:r>
      <w:r w:rsidRPr="00236B94">
        <w:rPr>
          <w:rFonts w:asciiTheme="majorBidi" w:hAnsiTheme="majorBidi" w:cstheme="majorBidi"/>
          <w:sz w:val="24"/>
          <w:szCs w:val="24"/>
        </w:rPr>
        <w:t xml:space="preserve"> was examined using exploratory factor analysis. It was conducted using the method of Principal Component Analysis to reveal the underlying structure of the data. </w:t>
      </w:r>
      <w:r w:rsidR="000C4D13" w:rsidRPr="00FC5862">
        <w:rPr>
          <w:rFonts w:asciiTheme="majorBidi" w:hAnsiTheme="majorBidi" w:cstheme="majorBidi"/>
          <w:sz w:val="24"/>
          <w:szCs w:val="24"/>
        </w:rPr>
        <w:t>The</w:t>
      </w:r>
      <w:r w:rsidRPr="00FC5862">
        <w:rPr>
          <w:rFonts w:asciiTheme="majorBidi" w:hAnsiTheme="majorBidi" w:cstheme="majorBidi"/>
          <w:sz w:val="24"/>
          <w:szCs w:val="24"/>
        </w:rPr>
        <w:t xml:space="preserve"> index of goodness of fit (Kaiser-Meyer-</w:t>
      </w:r>
      <w:proofErr w:type="spellStart"/>
      <w:r w:rsidRPr="00FC5862">
        <w:rPr>
          <w:rFonts w:asciiTheme="majorBidi" w:hAnsiTheme="majorBidi" w:cstheme="majorBidi"/>
          <w:sz w:val="24"/>
          <w:szCs w:val="24"/>
        </w:rPr>
        <w:t>Olkin</w:t>
      </w:r>
      <w:proofErr w:type="spellEnd"/>
      <w:r w:rsidRPr="00FC5862">
        <w:rPr>
          <w:rFonts w:asciiTheme="majorBidi" w:hAnsiTheme="majorBidi" w:cstheme="majorBidi"/>
          <w:sz w:val="24"/>
          <w:szCs w:val="24"/>
        </w:rPr>
        <w:t xml:space="preserve"> Measure of Sampling Adequacy (KMO)) was calculated, gett</w:t>
      </w:r>
      <w:r>
        <w:rPr>
          <w:rFonts w:asciiTheme="majorBidi" w:hAnsiTheme="majorBidi" w:cstheme="majorBidi"/>
          <w:sz w:val="24"/>
          <w:szCs w:val="24"/>
        </w:rPr>
        <w:t>ing a coefficient of 0.281. Further</w:t>
      </w:r>
      <w:r w:rsidRPr="00FC5862">
        <w:rPr>
          <w:rFonts w:asciiTheme="majorBidi" w:hAnsiTheme="majorBidi" w:cstheme="majorBidi"/>
          <w:sz w:val="24"/>
          <w:szCs w:val="24"/>
        </w:rPr>
        <w:t>, Bartlett’s Test of Sphericity was significant with p &lt; 0.05. That</w:t>
      </w:r>
      <w:r>
        <w:rPr>
          <w:rFonts w:asciiTheme="majorBidi" w:hAnsiTheme="majorBidi" w:cstheme="majorBidi"/>
          <w:sz w:val="24"/>
          <w:szCs w:val="24"/>
        </w:rPr>
        <w:t xml:space="preserve"> is, the R-matrix wa</w:t>
      </w:r>
      <w:r w:rsidRPr="001052D2">
        <w:rPr>
          <w:rFonts w:asciiTheme="majorBidi" w:hAnsiTheme="majorBidi" w:cstheme="majorBidi"/>
          <w:sz w:val="24"/>
          <w:szCs w:val="24"/>
        </w:rPr>
        <w:t>s not an ident</w:t>
      </w:r>
      <w:r>
        <w:rPr>
          <w:rFonts w:asciiTheme="majorBidi" w:hAnsiTheme="majorBidi" w:cstheme="majorBidi"/>
          <w:sz w:val="24"/>
          <w:szCs w:val="24"/>
        </w:rPr>
        <w:t>ity matrix. Therefore, there were</w:t>
      </w:r>
      <w:r w:rsidRPr="001052D2">
        <w:rPr>
          <w:rFonts w:asciiTheme="majorBidi" w:hAnsiTheme="majorBidi" w:cstheme="majorBidi"/>
          <w:sz w:val="24"/>
          <w:szCs w:val="24"/>
        </w:rPr>
        <w:t xml:space="preserve"> some relationships between the variables that we incl</w:t>
      </w:r>
      <w:r>
        <w:rPr>
          <w:rFonts w:asciiTheme="majorBidi" w:hAnsiTheme="majorBidi" w:cstheme="majorBidi"/>
          <w:sz w:val="24"/>
          <w:szCs w:val="24"/>
        </w:rPr>
        <w:t xml:space="preserve">uded in the analysis. </w:t>
      </w:r>
    </w:p>
    <w:p w:rsidR="00F17701" w:rsidRDefault="007A1722" w:rsidP="00F17701">
      <w:pPr>
        <w:autoSpaceDE w:val="0"/>
        <w:autoSpaceDN w:val="0"/>
        <w:adjustRightInd w:val="0"/>
        <w:spacing w:beforeLines="240" w:before="576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</w:t>
      </w:r>
      <w:r w:rsidR="00213ABD">
        <w:rPr>
          <w:rFonts w:asciiTheme="majorBidi" w:hAnsiTheme="majorBidi" w:cstheme="majorBidi"/>
          <w:sz w:val="24"/>
          <w:szCs w:val="24"/>
        </w:rPr>
        <w:t>1</w:t>
      </w:r>
      <w:r w:rsidR="00F17701">
        <w:rPr>
          <w:rFonts w:asciiTheme="majorBidi" w:hAnsiTheme="majorBidi" w:cstheme="majorBidi"/>
          <w:sz w:val="24"/>
          <w:szCs w:val="24"/>
        </w:rPr>
        <w:t xml:space="preserve"> </w:t>
      </w:r>
    </w:p>
    <w:p w:rsidR="00F17701" w:rsidRPr="00111963" w:rsidRDefault="00940B58" w:rsidP="00F17701">
      <w:pPr>
        <w:autoSpaceDE w:val="0"/>
        <w:autoSpaceDN w:val="0"/>
        <w:adjustRightInd w:val="0"/>
        <w:spacing w:beforeLines="240" w:before="576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KMO and Bartlett’s t</w:t>
      </w:r>
      <w:bookmarkStart w:id="0" w:name="_GoBack"/>
      <w:bookmarkEnd w:id="0"/>
      <w:r>
        <w:rPr>
          <w:rFonts w:asciiTheme="majorBidi" w:hAnsiTheme="majorBidi" w:cstheme="majorBidi"/>
          <w:i/>
          <w:iCs/>
          <w:sz w:val="24"/>
          <w:szCs w:val="24"/>
        </w:rPr>
        <w:t>est-pilot s</w:t>
      </w:r>
      <w:r w:rsidR="00F17701" w:rsidRPr="00111963">
        <w:rPr>
          <w:rFonts w:asciiTheme="majorBidi" w:hAnsiTheme="majorBidi" w:cstheme="majorBidi"/>
          <w:i/>
          <w:iCs/>
          <w:sz w:val="24"/>
          <w:szCs w:val="24"/>
        </w:rPr>
        <w:t>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7701" w:rsidRPr="001052D2" w:rsidTr="006A7C40">
        <w:tc>
          <w:tcPr>
            <w:tcW w:w="9242" w:type="dxa"/>
            <w:tcBorders>
              <w:left w:val="nil"/>
              <w:right w:val="nil"/>
            </w:tcBorders>
          </w:tcPr>
          <w:p w:rsidR="00F17701" w:rsidRPr="00717E49" w:rsidRDefault="00F17701" w:rsidP="006A7C4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7E49">
              <w:rPr>
                <w:rFonts w:asciiTheme="majorBidi" w:hAnsiTheme="majorBidi" w:cstheme="majorBidi"/>
                <w:sz w:val="20"/>
                <w:szCs w:val="20"/>
              </w:rPr>
              <w:t>Kaiser-Meyer-</w:t>
            </w:r>
            <w:proofErr w:type="spellStart"/>
            <w:r w:rsidRPr="00717E49">
              <w:rPr>
                <w:rFonts w:asciiTheme="majorBidi" w:hAnsiTheme="majorBidi" w:cstheme="majorBidi"/>
                <w:sz w:val="20"/>
                <w:szCs w:val="20"/>
              </w:rPr>
              <w:t>Olkin</w:t>
            </w:r>
            <w:proofErr w:type="spellEnd"/>
            <w:r w:rsidRPr="00717E49">
              <w:rPr>
                <w:rFonts w:asciiTheme="majorBidi" w:hAnsiTheme="majorBidi" w:cstheme="majorBidi"/>
                <w:sz w:val="20"/>
                <w:szCs w:val="20"/>
              </w:rPr>
              <w:t xml:space="preserve"> Measure of Sampling Adequacy.               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7E49">
              <w:rPr>
                <w:rFonts w:asciiTheme="majorBidi" w:hAnsiTheme="majorBidi" w:cstheme="majorBidi"/>
                <w:sz w:val="20"/>
                <w:szCs w:val="20"/>
              </w:rPr>
              <w:t>0.281</w:t>
            </w:r>
          </w:p>
          <w:p w:rsidR="00F17701" w:rsidRPr="00717E49" w:rsidRDefault="00F17701" w:rsidP="006A7C4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7E49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Approx. Chi-Square                                  555.105</w:t>
            </w:r>
          </w:p>
          <w:p w:rsidR="00F17701" w:rsidRPr="00717E49" w:rsidRDefault="00F17701" w:rsidP="006A7C4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7E49">
              <w:rPr>
                <w:rFonts w:asciiTheme="majorBidi" w:hAnsiTheme="majorBidi" w:cstheme="majorBidi"/>
                <w:sz w:val="20"/>
                <w:szCs w:val="20"/>
              </w:rPr>
              <w:t>Bartlett</w:t>
            </w:r>
            <w:r w:rsidRPr="00717E4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’</w:t>
            </w:r>
            <w:r w:rsidRPr="00717E49">
              <w:rPr>
                <w:rFonts w:asciiTheme="majorBidi" w:hAnsiTheme="majorBidi" w:cstheme="majorBidi"/>
                <w:sz w:val="20"/>
                <w:szCs w:val="20"/>
              </w:rPr>
              <w:t xml:space="preserve">s Test of Sphericity         </w:t>
            </w:r>
            <w:proofErr w:type="spellStart"/>
            <w:r w:rsidRPr="00717E49">
              <w:rPr>
                <w:rFonts w:asciiTheme="majorBidi" w:hAnsiTheme="majorBidi" w:cstheme="majorBidi"/>
                <w:sz w:val="20"/>
                <w:szCs w:val="20"/>
              </w:rPr>
              <w:t>df</w:t>
            </w:r>
            <w:proofErr w:type="spellEnd"/>
            <w:r w:rsidRPr="00717E49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435</w:t>
            </w:r>
          </w:p>
          <w:p w:rsidR="00F17701" w:rsidRPr="001052D2" w:rsidRDefault="00F17701" w:rsidP="006A7C4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E49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717E49"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        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7E49">
              <w:rPr>
                <w:rFonts w:asciiTheme="majorBidi" w:hAnsiTheme="majorBidi" w:cstheme="majorBidi"/>
                <w:sz w:val="20"/>
                <w:szCs w:val="20"/>
              </w:rPr>
              <w:t>Sig.                                                            0.000</w:t>
            </w:r>
          </w:p>
        </w:tc>
      </w:tr>
    </w:tbl>
    <w:p w:rsidR="00F17701" w:rsidRDefault="00F17701" w:rsidP="00F17701">
      <w:pPr>
        <w:autoSpaceDE w:val="0"/>
        <w:autoSpaceDN w:val="0"/>
        <w:adjustRightInd w:val="0"/>
        <w:spacing w:before="240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17701" w:rsidRDefault="00F17701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70C0"/>
          <w:sz w:val="24"/>
          <w:szCs w:val="24"/>
          <w:lang w:val="en-US"/>
        </w:rPr>
        <w:t xml:space="preserve">     </w:t>
      </w:r>
      <w:r w:rsidRPr="0042034B">
        <w:rPr>
          <w:rFonts w:asciiTheme="majorBidi" w:hAnsiTheme="majorBidi" w:cstheme="majorBidi"/>
          <w:sz w:val="24"/>
          <w:szCs w:val="24"/>
          <w:lang w:val="en-US"/>
        </w:rPr>
        <w:t>The</w:t>
      </w:r>
      <w:r>
        <w:rPr>
          <w:rFonts w:asciiTheme="majorBidi" w:hAnsiTheme="majorBidi" w:cstheme="majorBidi"/>
          <w:sz w:val="24"/>
          <w:szCs w:val="24"/>
          <w:lang w:val="en-US"/>
        </w:rPr>
        <w:t>n, the</w:t>
      </w:r>
      <w:r w:rsidRPr="0042034B">
        <w:rPr>
          <w:rFonts w:asciiTheme="majorBidi" w:hAnsiTheme="majorBidi" w:cstheme="majorBidi"/>
          <w:sz w:val="24"/>
          <w:szCs w:val="24"/>
          <w:lang w:val="en-US"/>
        </w:rPr>
        <w:t xml:space="preserve"> extraction method </w:t>
      </w:r>
      <w:r>
        <w:rPr>
          <w:rFonts w:asciiTheme="majorBidi" w:hAnsiTheme="majorBidi" w:cstheme="majorBidi"/>
          <w:sz w:val="24"/>
          <w:szCs w:val="24"/>
          <w:lang w:val="en-US"/>
        </w:rPr>
        <w:t>was set according to</w:t>
      </w:r>
      <w:r w:rsidRPr="0042034B">
        <w:rPr>
          <w:rFonts w:asciiTheme="majorBidi" w:hAnsiTheme="majorBidi" w:cstheme="majorBidi"/>
          <w:sz w:val="24"/>
          <w:szCs w:val="24"/>
          <w:lang w:val="en-US"/>
        </w:rPr>
        <w:t xml:space="preserve"> “Number of factors”.</w:t>
      </w:r>
      <w:r w:rsidRPr="00266758">
        <w:rPr>
          <w:rFonts w:asciiTheme="majorBidi" w:hAnsiTheme="majorBidi" w:cstheme="majorBidi"/>
          <w:color w:val="0070C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It was revealed that </w:t>
      </w:r>
      <w:r w:rsidRPr="00266758">
        <w:rPr>
          <w:rFonts w:asciiTheme="majorBidi" w:hAnsiTheme="majorBidi" w:cstheme="majorBidi"/>
          <w:sz w:val="24"/>
          <w:szCs w:val="24"/>
          <w:lang w:val="en-US"/>
        </w:rPr>
        <w:t xml:space="preserve">five factors meet cut-off criterion (extraction method). </w:t>
      </w:r>
      <w:r>
        <w:rPr>
          <w:rFonts w:asciiTheme="majorBidi" w:hAnsiTheme="majorBidi" w:cstheme="majorBidi"/>
          <w:sz w:val="24"/>
          <w:szCs w:val="24"/>
          <w:lang w:val="en-US"/>
        </w:rPr>
        <w:t>The first factor</w:t>
      </w:r>
      <w:r w:rsidRPr="00266758">
        <w:rPr>
          <w:rFonts w:asciiTheme="majorBidi" w:hAnsiTheme="majorBidi" w:cstheme="majorBidi"/>
          <w:sz w:val="24"/>
          <w:szCs w:val="24"/>
          <w:lang w:val="en-US"/>
        </w:rPr>
        <w:t xml:space="preserve"> account</w:t>
      </w:r>
      <w:r>
        <w:rPr>
          <w:rFonts w:asciiTheme="majorBidi" w:hAnsiTheme="majorBidi" w:cstheme="majorBidi"/>
          <w:sz w:val="24"/>
          <w:szCs w:val="24"/>
          <w:lang w:val="en-US"/>
        </w:rPr>
        <w:t>s for 10.238% of the variability, factor</w:t>
      </w:r>
      <w:r w:rsidRPr="00266758">
        <w:rPr>
          <w:rFonts w:asciiTheme="majorBidi" w:hAnsiTheme="majorBidi" w:cstheme="majorBidi"/>
          <w:sz w:val="24"/>
          <w:szCs w:val="24"/>
          <w:lang w:val="en-US"/>
        </w:rPr>
        <w:t xml:space="preserve">2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266758">
        <w:rPr>
          <w:rFonts w:asciiTheme="majorBidi" w:hAnsiTheme="majorBidi" w:cstheme="majorBidi"/>
          <w:sz w:val="24"/>
          <w:szCs w:val="24"/>
          <w:lang w:val="en-US"/>
        </w:rPr>
        <w:t>8.989%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 of variability, factor </w:t>
      </w:r>
      <w:r w:rsidRPr="00266758">
        <w:rPr>
          <w:rFonts w:asciiTheme="majorBidi" w:hAnsiTheme="majorBidi" w:cstheme="majorBidi"/>
          <w:sz w:val="24"/>
          <w:szCs w:val="24"/>
          <w:lang w:val="en-US"/>
        </w:rPr>
        <w:t xml:space="preserve">3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266758">
        <w:rPr>
          <w:rFonts w:asciiTheme="majorBidi" w:hAnsiTheme="majorBidi" w:cstheme="majorBidi"/>
          <w:sz w:val="24"/>
          <w:szCs w:val="24"/>
          <w:lang w:val="en-US"/>
        </w:rPr>
        <w:t>8.938%</w:t>
      </w:r>
      <w:r>
        <w:rPr>
          <w:rFonts w:asciiTheme="majorBidi" w:hAnsiTheme="majorBidi" w:cstheme="majorBidi"/>
          <w:sz w:val="24"/>
          <w:szCs w:val="24"/>
          <w:lang w:val="en-US"/>
        </w:rPr>
        <w:t>) of variability, factor</w:t>
      </w:r>
      <w:r w:rsidRPr="00266758">
        <w:rPr>
          <w:rFonts w:asciiTheme="majorBidi" w:hAnsiTheme="majorBidi" w:cstheme="majorBidi"/>
          <w:sz w:val="24"/>
          <w:szCs w:val="24"/>
          <w:lang w:val="en-US"/>
        </w:rPr>
        <w:t xml:space="preserve">4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266758">
        <w:rPr>
          <w:rFonts w:asciiTheme="majorBidi" w:hAnsiTheme="majorBidi" w:cstheme="majorBidi"/>
          <w:sz w:val="24"/>
          <w:szCs w:val="24"/>
          <w:lang w:val="en-US"/>
        </w:rPr>
        <w:t>8.750%</w:t>
      </w:r>
      <w:r>
        <w:rPr>
          <w:rFonts w:asciiTheme="majorBidi" w:hAnsiTheme="majorBidi" w:cstheme="majorBidi"/>
          <w:sz w:val="24"/>
          <w:szCs w:val="24"/>
          <w:lang w:val="en-US"/>
        </w:rPr>
        <w:t>) of variability, and factor</w:t>
      </w:r>
      <w:r w:rsidRPr="00266758">
        <w:rPr>
          <w:rFonts w:asciiTheme="majorBidi" w:hAnsiTheme="majorBidi" w:cstheme="majorBidi"/>
          <w:sz w:val="24"/>
          <w:szCs w:val="24"/>
          <w:lang w:val="en-US"/>
        </w:rPr>
        <w:t xml:space="preserve">5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266758">
        <w:rPr>
          <w:rFonts w:asciiTheme="majorBidi" w:hAnsiTheme="majorBidi" w:cstheme="majorBidi"/>
          <w:sz w:val="24"/>
          <w:szCs w:val="24"/>
          <w:lang w:val="en-US"/>
        </w:rPr>
        <w:t>6.980%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266758">
        <w:rPr>
          <w:rFonts w:asciiTheme="majorBidi" w:hAnsiTheme="majorBidi" w:cstheme="majorBidi"/>
          <w:sz w:val="24"/>
          <w:szCs w:val="24"/>
          <w:lang w:val="en-US"/>
        </w:rPr>
        <w:t xml:space="preserve"> of variability.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    </w:t>
      </w:r>
    </w:p>
    <w:p w:rsidR="00F17701" w:rsidRDefault="009931F9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Table2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 shows the rotated component matrix. Principal Components Analysis was used as the extraction method and </w:t>
      </w:r>
      <w:proofErr w:type="spellStart"/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>Quartimax</w:t>
      </w:r>
      <w:proofErr w:type="spellEnd"/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 with Kaiser Normalization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 xml:space="preserve"> rotation method was adopted. It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 could 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be said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 that the first seven subtests loade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d strongly on factor1. That is, all these questions identified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 the intended relationships am</w:t>
      </w:r>
      <w:r w:rsidR="00C361C1">
        <w:rPr>
          <w:rFonts w:asciiTheme="majorBidi" w:hAnsiTheme="majorBidi" w:cstheme="majorBidi"/>
          <w:sz w:val="24"/>
          <w:szCs w:val="24"/>
          <w:lang w:val="en-US"/>
        </w:rPr>
        <w:t>ong the statements. Thus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the factor related to these questions 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 xml:space="preserve">was labeled 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as </w:t>
      </w:r>
      <w:r w:rsidR="00F17701" w:rsidRPr="001052D2">
        <w:rPr>
          <w:rFonts w:asciiTheme="majorBidi" w:hAnsiTheme="majorBidi" w:cstheme="majorBidi"/>
          <w:i/>
          <w:iCs/>
          <w:sz w:val="24"/>
          <w:szCs w:val="24"/>
          <w:lang w:val="en-US"/>
        </w:rPr>
        <w:t>Analysis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. Question2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>9 loaded fairly s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trongly on factor2, whereas questions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>1, 16, 12, 9, and 27 loaded strong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ly on factor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>2. All these questions relate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 to assess the cre</w:t>
      </w:r>
      <w:r w:rsidR="003663AB">
        <w:rPr>
          <w:rFonts w:asciiTheme="majorBidi" w:hAnsiTheme="majorBidi" w:cstheme="majorBidi"/>
          <w:sz w:val="24"/>
          <w:szCs w:val="24"/>
          <w:lang w:val="en-US"/>
        </w:rPr>
        <w:t>dibility of statements. So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the factor related to these questions 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 xml:space="preserve">was labeled 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as </w:t>
      </w:r>
      <w:r w:rsidR="00F17701" w:rsidRPr="001052D2">
        <w:rPr>
          <w:rFonts w:asciiTheme="majorBidi" w:hAnsiTheme="majorBidi" w:cstheme="majorBidi"/>
          <w:i/>
          <w:iCs/>
          <w:sz w:val="24"/>
          <w:szCs w:val="24"/>
          <w:lang w:val="en-US"/>
        </w:rPr>
        <w:t>Evaluation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. Questions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>17 and 21 loaded s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trongly on factor3, whereas questions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13, 14, 19, 15, 25, and 5 loaded 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fairly strongly on factor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>3. These eight questions all contain some components of generalization from th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e structure. Thus,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 the factor related to these questions 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 xml:space="preserve">was labeled 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as </w:t>
      </w:r>
      <w:r w:rsidR="00F17701">
        <w:rPr>
          <w:rFonts w:asciiTheme="majorBidi" w:hAnsiTheme="majorBidi" w:cstheme="majorBidi"/>
          <w:i/>
          <w:iCs/>
          <w:sz w:val="24"/>
          <w:szCs w:val="24"/>
          <w:lang w:val="en-US"/>
        </w:rPr>
        <w:t>Inductive r</w:t>
      </w:r>
      <w:r w:rsidR="00F17701" w:rsidRPr="001052D2">
        <w:rPr>
          <w:rFonts w:asciiTheme="majorBidi" w:hAnsiTheme="majorBidi" w:cstheme="majorBidi"/>
          <w:i/>
          <w:iCs/>
          <w:sz w:val="24"/>
          <w:szCs w:val="24"/>
          <w:lang w:val="en-US"/>
        </w:rPr>
        <w:t>easoning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. Questions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>7, 22, 18, 28, and 26 loaded s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trongly on factor 4, whereas question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>11 loaded fairly strongly on factor 4. All these questions relate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 to </w:t>
      </w:r>
      <w:r w:rsidR="00F17701" w:rsidRPr="001052D2">
        <w:rPr>
          <w:rFonts w:asciiTheme="majorBidi" w:hAnsiTheme="majorBidi" w:cstheme="majorBidi"/>
          <w:sz w:val="24"/>
          <w:szCs w:val="24"/>
        </w:rPr>
        <w:t>identify and secure elements needed to draw reasonable conclusions</w:t>
      </w:r>
      <w:r w:rsidR="00845E35">
        <w:rPr>
          <w:rFonts w:asciiTheme="majorBidi" w:hAnsiTheme="majorBidi" w:cstheme="majorBidi"/>
          <w:sz w:val="24"/>
          <w:szCs w:val="24"/>
          <w:lang w:val="en-US"/>
        </w:rPr>
        <w:t>. Therefore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the factor related to these six questions 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 xml:space="preserve">was labeled 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as </w:t>
      </w:r>
      <w:r w:rsidR="00F17701" w:rsidRPr="001052D2">
        <w:rPr>
          <w:rFonts w:asciiTheme="majorBidi" w:hAnsiTheme="majorBidi" w:cstheme="majorBidi"/>
          <w:i/>
          <w:iCs/>
          <w:sz w:val="24"/>
          <w:szCs w:val="24"/>
          <w:lang w:val="en-US"/>
        </w:rPr>
        <w:t>Inference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. Questions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>24 and 30 loaded st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rongly on factor 5, whereas question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>3 l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oaded fairly strongly on factor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>5 .These three questions all contain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 some components of </w:t>
      </w:r>
      <w:r w:rsidR="00F17701" w:rsidRPr="001052D2">
        <w:rPr>
          <w:rFonts w:asciiTheme="majorBidi" w:eastAsia="Calibri" w:hAnsiTheme="majorBidi" w:cstheme="majorBidi"/>
          <w:sz w:val="24"/>
          <w:szCs w:val="24"/>
        </w:rPr>
        <w:t>determining whether certain conclusions necessarily follow</w:t>
      </w:r>
      <w:r w:rsidR="00F17701">
        <w:rPr>
          <w:rFonts w:asciiTheme="majorBidi" w:eastAsia="Calibri" w:hAnsiTheme="majorBidi" w:cstheme="majorBidi"/>
          <w:sz w:val="24"/>
          <w:szCs w:val="24"/>
        </w:rPr>
        <w:t>ed</w:t>
      </w:r>
      <w:r w:rsidR="00F17701" w:rsidRPr="001052D2">
        <w:rPr>
          <w:rFonts w:asciiTheme="majorBidi" w:eastAsia="Calibri" w:hAnsiTheme="majorBidi" w:cstheme="majorBidi"/>
          <w:sz w:val="24"/>
          <w:szCs w:val="24"/>
        </w:rPr>
        <w:t xml:space="preserve"> from information in given statements</w:t>
      </w:r>
      <w:r w:rsidR="00B2473E">
        <w:rPr>
          <w:rFonts w:asciiTheme="majorBidi" w:hAnsiTheme="majorBidi" w:cstheme="majorBidi"/>
          <w:sz w:val="24"/>
          <w:szCs w:val="24"/>
          <w:lang w:val="en-US"/>
        </w:rPr>
        <w:t>. Thus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the factor related to these questions </w:t>
      </w:r>
      <w:r w:rsidR="00F17701">
        <w:rPr>
          <w:rFonts w:asciiTheme="majorBidi" w:hAnsiTheme="majorBidi" w:cstheme="majorBidi"/>
          <w:sz w:val="24"/>
          <w:szCs w:val="24"/>
          <w:lang w:val="en-US"/>
        </w:rPr>
        <w:t xml:space="preserve">was labeled 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 xml:space="preserve">as </w:t>
      </w:r>
      <w:r w:rsidR="00F17701">
        <w:rPr>
          <w:rFonts w:asciiTheme="majorBidi" w:hAnsiTheme="majorBidi" w:cstheme="majorBidi"/>
          <w:i/>
          <w:iCs/>
          <w:sz w:val="24"/>
          <w:szCs w:val="24"/>
          <w:lang w:val="en-US"/>
        </w:rPr>
        <w:t>Deductive r</w:t>
      </w:r>
      <w:r w:rsidR="00F17701" w:rsidRPr="001052D2">
        <w:rPr>
          <w:rFonts w:asciiTheme="majorBidi" w:hAnsiTheme="majorBidi" w:cstheme="majorBidi"/>
          <w:i/>
          <w:iCs/>
          <w:sz w:val="24"/>
          <w:szCs w:val="24"/>
          <w:lang w:val="en-US"/>
        </w:rPr>
        <w:t>easoning</w:t>
      </w:r>
      <w:r w:rsidR="00F17701" w:rsidRPr="001052D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A1722" w:rsidRDefault="007A1722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A1722" w:rsidRDefault="007A1722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A1722" w:rsidRDefault="007A1722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A1722" w:rsidRDefault="007A1722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A1722" w:rsidRDefault="007A1722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A1722" w:rsidRDefault="007A1722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13ABD" w:rsidRDefault="00213ABD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13ABD" w:rsidRDefault="00213ABD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13ABD" w:rsidRDefault="00213ABD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13ABD" w:rsidRDefault="00213ABD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A1722" w:rsidRDefault="007A1722" w:rsidP="00F17701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17701" w:rsidRDefault="00F17701" w:rsidP="00F17701">
      <w:pPr>
        <w:autoSpaceDE w:val="0"/>
        <w:autoSpaceDN w:val="0"/>
        <w:adjustRightInd w:val="0"/>
        <w:spacing w:beforeLines="240" w:before="576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032C2">
        <w:rPr>
          <w:rFonts w:asciiTheme="majorBidi" w:hAnsiTheme="majorBidi" w:cstheme="majorBidi"/>
          <w:sz w:val="24"/>
          <w:szCs w:val="24"/>
          <w:lang w:val="en-US"/>
        </w:rPr>
        <w:t>Table</w:t>
      </w:r>
      <w:r w:rsidR="00213ABD"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17701" w:rsidRPr="00C63C48" w:rsidRDefault="00386DBD" w:rsidP="00F17701">
      <w:pPr>
        <w:autoSpaceDE w:val="0"/>
        <w:autoSpaceDN w:val="0"/>
        <w:adjustRightInd w:val="0"/>
        <w:spacing w:beforeLines="240" w:before="576"/>
        <w:contextualSpacing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The Factor loading for each v</w:t>
      </w:r>
      <w:r w:rsidR="00F17701" w:rsidRPr="00C63C48">
        <w:rPr>
          <w:rFonts w:asciiTheme="majorBidi" w:hAnsiTheme="majorBidi" w:cstheme="majorBidi"/>
          <w:i/>
          <w:iCs/>
          <w:sz w:val="24"/>
          <w:szCs w:val="24"/>
          <w:lang w:val="en-US"/>
        </w:rPr>
        <w:t>ariable</w:t>
      </w:r>
    </w:p>
    <w:tbl>
      <w:tblPr>
        <w:tblW w:w="914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40"/>
      </w:tblGrid>
      <w:tr w:rsidR="00F17701" w:rsidRPr="001B76B0" w:rsidTr="006A7C40">
        <w:trPr>
          <w:trHeight w:val="133"/>
        </w:trPr>
        <w:tc>
          <w:tcPr>
            <w:tcW w:w="9140" w:type="dxa"/>
          </w:tcPr>
          <w:p w:rsidR="00F17701" w:rsidRPr="001B76B0" w:rsidRDefault="00F17701" w:rsidP="006A7C40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F17701" w:rsidRPr="00C63C48" w:rsidRDefault="00F17701" w:rsidP="00F17701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1B76B0">
        <w:rPr>
          <w:rFonts w:asciiTheme="majorBidi" w:hAnsiTheme="majorBidi" w:cstheme="majorBidi"/>
          <w:i/>
          <w:iCs/>
          <w:sz w:val="20"/>
          <w:szCs w:val="20"/>
          <w:lang w:val="en-US"/>
        </w:rPr>
        <w:tab/>
      </w:r>
      <w:r w:rsidRPr="00C63C48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Rotated Component </w:t>
      </w:r>
      <w:proofErr w:type="spellStart"/>
      <w:r w:rsidRPr="00C63C48">
        <w:rPr>
          <w:rFonts w:asciiTheme="majorBidi" w:hAnsiTheme="majorBidi" w:cstheme="majorBidi"/>
          <w:b/>
          <w:bCs/>
          <w:sz w:val="20"/>
          <w:szCs w:val="20"/>
          <w:lang w:val="en-US"/>
        </w:rPr>
        <w:t>Matrix</w:t>
      </w:r>
      <w:r w:rsidRPr="00C63C48">
        <w:rPr>
          <w:rFonts w:asciiTheme="majorBidi" w:hAnsiTheme="majorBidi" w:cstheme="majorBidi"/>
          <w:b/>
          <w:bCs/>
          <w:sz w:val="20"/>
          <w:szCs w:val="20"/>
          <w:vertAlign w:val="superscript"/>
          <w:lang w:val="en-US"/>
        </w:rPr>
        <w:t>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F17701" w:rsidRPr="00C63C48" w:rsidTr="006A7C40">
        <w:trPr>
          <w:jc w:val="center"/>
        </w:trPr>
        <w:tc>
          <w:tcPr>
            <w:tcW w:w="9242" w:type="dxa"/>
            <w:tcBorders>
              <w:left w:val="nil"/>
              <w:right w:val="nil"/>
            </w:tcBorders>
          </w:tcPr>
          <w:p w:rsidR="00F17701" w:rsidRPr="00C63C48" w:rsidRDefault="00F17701" w:rsidP="006A7C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63C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Component</w:t>
            </w:r>
          </w:p>
        </w:tc>
      </w:tr>
      <w:tr w:rsidR="00F17701" w:rsidRPr="00C63C48" w:rsidTr="006A7C40">
        <w:trPr>
          <w:jc w:val="center"/>
        </w:trPr>
        <w:tc>
          <w:tcPr>
            <w:tcW w:w="9242" w:type="dxa"/>
            <w:tcBorders>
              <w:left w:val="nil"/>
              <w:right w:val="nil"/>
            </w:tcBorders>
          </w:tcPr>
          <w:p w:rsidR="00F17701" w:rsidRPr="00C63C48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63C4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                           </w:t>
            </w:r>
            <w:r w:rsidRPr="00C63C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1                           2                           3                            4                            5</w:t>
            </w:r>
          </w:p>
        </w:tc>
      </w:tr>
      <w:tr w:rsidR="00F17701" w:rsidRPr="00890CD5" w:rsidTr="006A7C40">
        <w:trPr>
          <w:jc w:val="center"/>
        </w:trPr>
        <w:tc>
          <w:tcPr>
            <w:tcW w:w="9242" w:type="dxa"/>
            <w:tcBorders>
              <w:left w:val="nil"/>
              <w:right w:val="nil"/>
            </w:tcBorders>
          </w:tcPr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Q23                 0.738                                                   0.117                    -0.164                   -0.307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Q20                 0.632                    0.131                     -0.311                    -0.313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Q10                 0.556                   -0.135                                                    0.196                    0.227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Q6                   0.543                   -0.199                                                   -0.117                   -0.115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Q2                   0.531                    0.320                       0.195                    -0.124                  -0.408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Q8                   0.524                   -0.236                     -0.123                     0.195                    0.329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Q4                   0.368                    0.113                       0.257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Q1                                               -0.693                       0.201                    -0.121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Q16                 0.132                   -0.632                      -0.138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Q12                 0.104                    0.609                                                                                 -0.130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Q9                  -0.387                    0.562                      -0.388                    -0.119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Q27                                              0.558                        0.363                     0.301                    0.211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Q29                 0.328                    0.424                        0.165                    -0.398                   -0.207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Q17                                                                              -0.756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Q21                                                                               0.589                                                  0.470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Q19                 0.286                                                     0.471                      0.232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Q15                                             -0.103                        0.457                     -0.356                  -0.213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Q25                 0.305                   -0.335                       -0.430                      0.166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Q5                  -0.159                    0.273                        0.412                       0.237                  -0.149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Q14                 0.243                   -0.250                        0.376                                                  -0.195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Q7                   0.202                   -0.147                       -0.243                      -0.661                   0.208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Q22                                                                                                                0.584                  -0.313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Q18                 0.385                     0.159                                                        0.554                   0.155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Q28                                                                                                                0.537                   0.436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Q26                 0.155                                                                                      0.513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Q11                                               0.100                                                       -0.336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Q13                                               0.159                       -0.158                      -0.225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Q24                                               0.102                        0.298                       -0183                   0.596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Q30                                                                                                                                            0.582</w:t>
            </w:r>
          </w:p>
          <w:p w:rsidR="00F17701" w:rsidRPr="00890CD5" w:rsidRDefault="00F17701" w:rsidP="006A7C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90C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Q3                                                 0.134                       -0.184                                                   0.368</w:t>
            </w:r>
          </w:p>
        </w:tc>
      </w:tr>
    </w:tbl>
    <w:p w:rsidR="00F17701" w:rsidRPr="00E44570" w:rsidRDefault="00F17701" w:rsidP="00F17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4570">
        <w:rPr>
          <w:rFonts w:asciiTheme="majorBidi" w:hAnsiTheme="majorBidi" w:cstheme="majorBidi"/>
          <w:sz w:val="20"/>
          <w:szCs w:val="20"/>
          <w:lang w:val="en-US"/>
        </w:rPr>
        <w:t>Extraction Method: Principal Component Analysis.</w:t>
      </w:r>
    </w:p>
    <w:p w:rsidR="00F17701" w:rsidRPr="00E44570" w:rsidRDefault="00F17701" w:rsidP="00F17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4570">
        <w:rPr>
          <w:rFonts w:asciiTheme="majorBidi" w:hAnsiTheme="majorBidi" w:cstheme="majorBidi"/>
          <w:sz w:val="20"/>
          <w:szCs w:val="20"/>
          <w:lang w:val="en-US"/>
        </w:rPr>
        <w:t xml:space="preserve">Rotation method: </w:t>
      </w:r>
      <w:proofErr w:type="spellStart"/>
      <w:r w:rsidRPr="00E44570">
        <w:rPr>
          <w:rFonts w:asciiTheme="majorBidi" w:hAnsiTheme="majorBidi" w:cstheme="majorBidi"/>
          <w:sz w:val="20"/>
          <w:szCs w:val="20"/>
          <w:lang w:val="en-US"/>
        </w:rPr>
        <w:t>Quartimax</w:t>
      </w:r>
      <w:proofErr w:type="spellEnd"/>
      <w:r w:rsidRPr="00E44570">
        <w:rPr>
          <w:rFonts w:asciiTheme="majorBidi" w:hAnsiTheme="majorBidi" w:cstheme="majorBidi"/>
          <w:sz w:val="20"/>
          <w:szCs w:val="20"/>
          <w:lang w:val="en-US"/>
        </w:rPr>
        <w:t xml:space="preserve"> with Kaiser Normalization.</w:t>
      </w:r>
    </w:p>
    <w:tbl>
      <w:tblPr>
        <w:tblW w:w="6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7"/>
      </w:tblGrid>
      <w:tr w:rsidR="00F17701" w:rsidRPr="00E44570" w:rsidTr="006A7C40">
        <w:trPr>
          <w:cantSplit/>
        </w:trPr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7701" w:rsidRPr="00E44570" w:rsidRDefault="00F17701" w:rsidP="006A7C40">
            <w:pPr>
              <w:autoSpaceDE w:val="0"/>
              <w:autoSpaceDN w:val="0"/>
              <w:adjustRightInd w:val="0"/>
              <w:spacing w:after="0" w:line="240" w:lineRule="auto"/>
              <w:ind w:right="60"/>
              <w:contextualSpacing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457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r w:rsidRPr="00E4457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. Rotation converged in 21 iterations. </w:t>
            </w:r>
          </w:p>
        </w:tc>
      </w:tr>
    </w:tbl>
    <w:p w:rsidR="00F17701" w:rsidRDefault="00F17701" w:rsidP="00F17701">
      <w:pPr>
        <w:spacing w:before="24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</w:p>
    <w:p w:rsidR="00561AD1" w:rsidRDefault="00561AD1"/>
    <w:sectPr w:rsidR="0056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1"/>
    <w:rsid w:val="000A6CC7"/>
    <w:rsid w:val="000C4D13"/>
    <w:rsid w:val="00151A45"/>
    <w:rsid w:val="00213ABD"/>
    <w:rsid w:val="00353D40"/>
    <w:rsid w:val="003663AB"/>
    <w:rsid w:val="00386DBD"/>
    <w:rsid w:val="00561AD1"/>
    <w:rsid w:val="00600F29"/>
    <w:rsid w:val="006B6152"/>
    <w:rsid w:val="007571E3"/>
    <w:rsid w:val="007A1722"/>
    <w:rsid w:val="00845E35"/>
    <w:rsid w:val="00940B58"/>
    <w:rsid w:val="009931F9"/>
    <w:rsid w:val="00B2473E"/>
    <w:rsid w:val="00C361C1"/>
    <w:rsid w:val="00F1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0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01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0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01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2015-01-02T13:37:00Z</dcterms:created>
  <dcterms:modified xsi:type="dcterms:W3CDTF">2015-02-14T18:38:00Z</dcterms:modified>
</cp:coreProperties>
</file>