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AE35" w14:textId="5CCB624A" w:rsidR="002C536C" w:rsidRDefault="00E562E1" w:rsidP="00E562E1">
      <w:pPr>
        <w:spacing w:line="240" w:lineRule="auto"/>
        <w:contextualSpacing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 xml:space="preserve">Teaching notes: </w:t>
      </w:r>
      <w:r>
        <w:rPr>
          <w:rFonts w:ascii="Cambria" w:hAnsi="Cambria"/>
          <w:b/>
          <w:i/>
          <w:sz w:val="32"/>
          <w:szCs w:val="32"/>
        </w:rPr>
        <w:t>Lady Audley’s Secret</w:t>
      </w:r>
      <w:r>
        <w:rPr>
          <w:rFonts w:ascii="Cambria" w:hAnsi="Cambria"/>
          <w:b/>
          <w:sz w:val="32"/>
          <w:szCs w:val="32"/>
        </w:rPr>
        <w:t>, Day 9</w:t>
      </w:r>
    </w:p>
    <w:p w14:paraId="01869A3C" w14:textId="23D7B21C" w:rsidR="00E562E1" w:rsidRPr="00E562E1" w:rsidRDefault="00E562E1" w:rsidP="00E562E1">
      <w:pPr>
        <w:spacing w:line="240" w:lineRule="auto"/>
        <w:contextualSpacing/>
        <w:rPr>
          <w:rFonts w:ascii="Cambria" w:hAnsi="Cambria"/>
          <w:b/>
        </w:rPr>
      </w:pPr>
    </w:p>
    <w:p w14:paraId="24D8AC80" w14:textId="2F717E49" w:rsidR="00E562E1" w:rsidRPr="00E562E1" w:rsidRDefault="00E562E1" w:rsidP="00E562E1">
      <w:pPr>
        <w:spacing w:line="240" w:lineRule="auto"/>
        <w:contextualSpacing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To start: </w:t>
      </w:r>
      <w:r>
        <w:rPr>
          <w:rFonts w:ascii="Cambria" w:hAnsi="Cambria"/>
          <w:b/>
          <w:i/>
          <w:sz w:val="32"/>
          <w:szCs w:val="32"/>
        </w:rPr>
        <w:t>Lady Audley’s Secret</w:t>
      </w:r>
      <w:r>
        <w:rPr>
          <w:rFonts w:ascii="Cambria" w:hAnsi="Cambria"/>
          <w:b/>
          <w:sz w:val="32"/>
          <w:szCs w:val="32"/>
        </w:rPr>
        <w:t>, still scandalous after all these years?</w:t>
      </w:r>
    </w:p>
    <w:p w14:paraId="7D30037B" w14:textId="66867FB9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i/>
          <w:iCs/>
        </w:rPr>
        <w:t>Lady Audley’s Secret</w:t>
      </w:r>
      <w:r w:rsidRPr="00E562E1">
        <w:rPr>
          <w:rFonts w:ascii="Cambria" w:hAnsi="Cambria"/>
        </w:rPr>
        <w:t xml:space="preserve"> was a sensation when it was published: it was considered scandalous and dangerous by many</w:t>
      </w:r>
      <w:r>
        <w:rPr>
          <w:rFonts w:ascii="Cambria" w:hAnsi="Cambria"/>
        </w:rPr>
        <w:t xml:space="preserve"> but</w:t>
      </w:r>
      <w:r w:rsidRPr="00E562E1">
        <w:rPr>
          <w:rFonts w:ascii="Cambria" w:hAnsi="Cambria"/>
        </w:rPr>
        <w:t xml:space="preserve"> was beloved by readers. </w:t>
      </w:r>
      <w:r>
        <w:rPr>
          <w:rFonts w:ascii="Cambria" w:hAnsi="Cambria"/>
        </w:rPr>
        <w:t>However,</w:t>
      </w:r>
      <w:r w:rsidRPr="00E562E1">
        <w:rPr>
          <w:rFonts w:ascii="Cambria" w:hAnsi="Cambria"/>
        </w:rPr>
        <w:t xml:space="preserve"> in later years, it went out of print and was nearly forgotten before being revived by feminist critics.</w:t>
      </w:r>
    </w:p>
    <w:p w14:paraId="34AA02C5" w14:textId="77777777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36027A20" w14:textId="4982A969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Some books stand the test of time better than others. Assess </w:t>
      </w:r>
      <w:r w:rsidRPr="00E562E1">
        <w:rPr>
          <w:rFonts w:ascii="Cambria" w:hAnsi="Cambria"/>
          <w:i/>
          <w:iCs/>
        </w:rPr>
        <w:t>Lady Audley’s Secret</w:t>
      </w:r>
      <w:r w:rsidRPr="00E562E1">
        <w:rPr>
          <w:rFonts w:ascii="Cambria" w:hAnsi="Cambria"/>
        </w:rPr>
        <w:t xml:space="preserve"> from a twenty-first-century perspective. Is it still a scandalous/dangerous/powerful book? Why or why not?</w:t>
      </w:r>
    </w:p>
    <w:p w14:paraId="668FD5CB" w14:textId="50DECED9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0EB2313A" w14:textId="5D492946" w:rsidR="00E562E1" w:rsidRDefault="00E562E1" w:rsidP="00E562E1">
      <w:pPr>
        <w:spacing w:line="240" w:lineRule="auto"/>
        <w:contextualSpacing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Plots and characters</w:t>
      </w:r>
    </w:p>
    <w:p w14:paraId="3BB7CD48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1. Working with your group, choose one character from each list:</w:t>
      </w:r>
    </w:p>
    <w:p w14:paraId="154B040C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t>Major characters</w:t>
      </w:r>
      <w:r w:rsidRPr="00E562E1">
        <w:rPr>
          <w:rFonts w:ascii="Cambria" w:hAnsi="Cambria"/>
          <w:b/>
          <w:bCs/>
        </w:rPr>
        <w:tab/>
      </w:r>
      <w:r w:rsidRPr="00E562E1">
        <w:rPr>
          <w:rFonts w:ascii="Cambria" w:hAnsi="Cambria"/>
          <w:b/>
          <w:bCs/>
        </w:rPr>
        <w:tab/>
      </w:r>
      <w:r w:rsidRPr="00E562E1">
        <w:rPr>
          <w:rFonts w:ascii="Cambria" w:hAnsi="Cambria"/>
          <w:b/>
          <w:bCs/>
        </w:rPr>
        <w:tab/>
        <w:t>Minor characters</w:t>
      </w:r>
    </w:p>
    <w:p w14:paraId="79E6FF5F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Lady Audley</w:t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  <w:t xml:space="preserve">Clara </w:t>
      </w:r>
      <w:proofErr w:type="spellStart"/>
      <w:r w:rsidRPr="00E562E1">
        <w:rPr>
          <w:rFonts w:ascii="Cambria" w:hAnsi="Cambria"/>
        </w:rPr>
        <w:t>Talboys</w:t>
      </w:r>
      <w:proofErr w:type="spellEnd"/>
    </w:p>
    <w:p w14:paraId="2DDFD680" w14:textId="02AC013D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Robert Audley</w:t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62E1">
        <w:rPr>
          <w:rFonts w:ascii="Cambria" w:hAnsi="Cambria"/>
        </w:rPr>
        <w:t>Alicia Audley</w:t>
      </w:r>
    </w:p>
    <w:p w14:paraId="7F34B10E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Sir Michael Audley</w:t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  <w:t>Phoebe Marks</w:t>
      </w:r>
    </w:p>
    <w:p w14:paraId="23796E02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George </w:t>
      </w:r>
      <w:proofErr w:type="spellStart"/>
      <w:r w:rsidRPr="00E562E1">
        <w:rPr>
          <w:rFonts w:ascii="Cambria" w:hAnsi="Cambria"/>
        </w:rPr>
        <w:t>Talboys</w:t>
      </w:r>
      <w:proofErr w:type="spellEnd"/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</w:r>
      <w:r w:rsidRPr="00E562E1">
        <w:rPr>
          <w:rFonts w:ascii="Cambria" w:hAnsi="Cambria"/>
        </w:rPr>
        <w:tab/>
        <w:t>Luke Marks</w:t>
      </w:r>
    </w:p>
    <w:p w14:paraId="55824C0A" w14:textId="77777777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047E0963" w14:textId="4763AA1F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2. Evaluate the degree to which your characters follow/are engaged in these stereotypical plotlines:</w:t>
      </w:r>
    </w:p>
    <w:p w14:paraId="723AD974" w14:textId="77777777" w:rsidR="00E562E1" w:rsidRPr="00E562E1" w:rsidRDefault="00E562E1" w:rsidP="00E562E1">
      <w:pPr>
        <w:numPr>
          <w:ilvl w:val="0"/>
          <w:numId w:val="1"/>
        </w:num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Growth and development</w:t>
      </w:r>
    </w:p>
    <w:p w14:paraId="56B523B6" w14:textId="77777777" w:rsidR="00E562E1" w:rsidRPr="00E562E1" w:rsidRDefault="00E562E1" w:rsidP="00E562E1">
      <w:pPr>
        <w:numPr>
          <w:ilvl w:val="0"/>
          <w:numId w:val="1"/>
        </w:num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Quest</w:t>
      </w:r>
    </w:p>
    <w:p w14:paraId="7E27DE98" w14:textId="77777777" w:rsidR="00E562E1" w:rsidRPr="00E562E1" w:rsidRDefault="00E562E1" w:rsidP="00E562E1">
      <w:pPr>
        <w:numPr>
          <w:ilvl w:val="0"/>
          <w:numId w:val="1"/>
        </w:num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Love triangle</w:t>
      </w:r>
    </w:p>
    <w:p w14:paraId="5AC14063" w14:textId="1BB84054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06888EB8" w14:textId="1DB73B79" w:rsidR="00E562E1" w:rsidRDefault="00E562E1" w:rsidP="00E562E1">
      <w:pPr>
        <w:spacing w:line="240" w:lineRule="auto"/>
        <w:contextualSpacing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Assessment of the ending: who wins?</w:t>
      </w:r>
    </w:p>
    <w:p w14:paraId="3B5672E6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To what degree is this a happy ending? To what degree is it a satisfying ending?</w:t>
      </w:r>
    </w:p>
    <w:p w14:paraId="1724E2A3" w14:textId="77777777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7E82A49D" w14:textId="36C74EC0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Who or what (consider individual people as well as power structures) “wins” in the novel’s ending?</w:t>
      </w:r>
    </w:p>
    <w:p w14:paraId="19714509" w14:textId="7D17343E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7E3C3517" w14:textId="0AF8CBF4" w:rsidR="00E562E1" w:rsidRDefault="00E562E1" w:rsidP="00E562E1">
      <w:pPr>
        <w:spacing w:line="240" w:lineRule="auto"/>
        <w:contextualSpacing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Group work: annotate, synthesize, and report</w:t>
      </w:r>
    </w:p>
    <w:p w14:paraId="76720C82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t>First</w:t>
      </w:r>
      <w:r w:rsidRPr="00E562E1">
        <w:rPr>
          <w:rFonts w:ascii="Cambria" w:hAnsi="Cambria"/>
        </w:rPr>
        <w:t>, complete highlighting and annotations for the final 2 sections. (10 minutes)</w:t>
      </w:r>
    </w:p>
    <w:p w14:paraId="6895E43E" w14:textId="77777777" w:rsidR="00E562E1" w:rsidRDefault="00E562E1" w:rsidP="00E562E1">
      <w:pPr>
        <w:spacing w:line="240" w:lineRule="auto"/>
        <w:contextualSpacing/>
        <w:rPr>
          <w:rFonts w:ascii="Cambria" w:hAnsi="Cambria"/>
          <w:b/>
          <w:bCs/>
        </w:rPr>
      </w:pPr>
    </w:p>
    <w:p w14:paraId="1056CB72" w14:textId="290965DF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t>Second</w:t>
      </w:r>
      <w:r w:rsidRPr="00E562E1">
        <w:rPr>
          <w:rFonts w:ascii="Cambria" w:hAnsi="Cambria"/>
        </w:rPr>
        <w:t>, consider these questions as you decide what to report on your theme (5-7 minutes)</w:t>
      </w:r>
    </w:p>
    <w:p w14:paraId="6CC77D66" w14:textId="77777777" w:rsidR="00E562E1" w:rsidRPr="00E562E1" w:rsidRDefault="00E562E1" w:rsidP="00E562E1">
      <w:pPr>
        <w:numPr>
          <w:ilvl w:val="0"/>
          <w:numId w:val="2"/>
        </w:num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What surprised you about the novel’s treatment of this theme? What was less surprising?</w:t>
      </w:r>
    </w:p>
    <w:p w14:paraId="3C22999B" w14:textId="77777777" w:rsidR="00E562E1" w:rsidRPr="00E562E1" w:rsidRDefault="00E562E1" w:rsidP="00E562E1">
      <w:pPr>
        <w:numPr>
          <w:ilvl w:val="0"/>
          <w:numId w:val="2"/>
        </w:num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What is the theme’s trajectory in the novel? Is its treatment </w:t>
      </w:r>
      <w:proofErr w:type="gramStart"/>
      <w:r w:rsidRPr="00E562E1">
        <w:rPr>
          <w:rFonts w:ascii="Cambria" w:hAnsi="Cambria"/>
        </w:rPr>
        <w:t>fairly consistent</w:t>
      </w:r>
      <w:proofErr w:type="gramEnd"/>
      <w:r w:rsidRPr="00E562E1">
        <w:rPr>
          <w:rFonts w:ascii="Cambria" w:hAnsi="Cambria"/>
        </w:rPr>
        <w:t>, or does the novel’s treatment of the theme change over the course of the plot?</w:t>
      </w:r>
    </w:p>
    <w:p w14:paraId="166BAA59" w14:textId="77777777" w:rsidR="00E562E1" w:rsidRPr="00E562E1" w:rsidRDefault="00E562E1" w:rsidP="00E562E1">
      <w:pPr>
        <w:numPr>
          <w:ilvl w:val="0"/>
          <w:numId w:val="2"/>
        </w:num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>What is distinctive about this theme in the Victorian period? In what ways does it compare/contrast with our ideas about this theme today?</w:t>
      </w:r>
    </w:p>
    <w:p w14:paraId="1F1752BC" w14:textId="77777777" w:rsidR="00E562E1" w:rsidRDefault="00E562E1" w:rsidP="00E562E1">
      <w:pPr>
        <w:spacing w:line="240" w:lineRule="auto"/>
        <w:contextualSpacing/>
        <w:rPr>
          <w:rFonts w:ascii="Cambria" w:hAnsi="Cambria"/>
          <w:b/>
          <w:bCs/>
        </w:rPr>
      </w:pPr>
    </w:p>
    <w:p w14:paraId="3B72E668" w14:textId="5961FC42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t xml:space="preserve">Third, </w:t>
      </w:r>
      <w:r w:rsidRPr="00E562E1">
        <w:rPr>
          <w:rFonts w:ascii="Cambria" w:hAnsi="Cambria"/>
        </w:rPr>
        <w:t>share your group’s report with the class (10 minutes)</w:t>
      </w:r>
    </w:p>
    <w:p w14:paraId="05B511E2" w14:textId="5CCDB935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5B4707F6" w14:textId="0EC3A01C" w:rsidR="00E562E1" w:rsidRDefault="00E562E1" w:rsidP="00E562E1">
      <w:pPr>
        <w:spacing w:line="240" w:lineRule="auto"/>
        <w:contextualSpacing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Sources on M. E. Braddon and </w:t>
      </w:r>
      <w:r>
        <w:rPr>
          <w:rFonts w:ascii="Cambria" w:hAnsi="Cambria"/>
          <w:b/>
          <w:i/>
          <w:sz w:val="32"/>
          <w:szCs w:val="32"/>
        </w:rPr>
        <w:t>Lady Audley’s Secret</w:t>
      </w:r>
    </w:p>
    <w:p w14:paraId="28570A7D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hyperlink r:id="rId5" w:history="1">
        <w:r w:rsidRPr="00E562E1">
          <w:rPr>
            <w:rStyle w:val="Hyperlink"/>
            <w:rFonts w:ascii="Cambria" w:hAnsi="Cambria"/>
          </w:rPr>
          <w:t>ME Braddon bio</w:t>
        </w:r>
      </w:hyperlink>
    </w:p>
    <w:p w14:paraId="2E3A18AE" w14:textId="5C7FA93E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hyperlink r:id="rId6" w:history="1">
        <w:r w:rsidRPr="00E562E1">
          <w:rPr>
            <w:rStyle w:val="Hyperlink"/>
            <w:rFonts w:ascii="Cambria" w:hAnsi="Cambria"/>
          </w:rPr>
          <w:t>ME Braddon chronology</w:t>
        </w:r>
      </w:hyperlink>
    </w:p>
    <w:p w14:paraId="05D198B1" w14:textId="33675BFC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hyperlink r:id="rId7" w:history="1">
        <w:r w:rsidRPr="00E562E1">
          <w:rPr>
            <w:rStyle w:val="Hyperlink"/>
            <w:rFonts w:ascii="Cambria" w:hAnsi="Cambria"/>
          </w:rPr>
          <w:t>Rediscovering ME Braddon</w:t>
        </w:r>
      </w:hyperlink>
    </w:p>
    <w:p w14:paraId="01E1FD56" w14:textId="5459796D" w:rsid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p w14:paraId="079439F2" w14:textId="3C566FCA" w:rsidR="00E562E1" w:rsidRDefault="00E562E1" w:rsidP="00E562E1">
      <w:pPr>
        <w:spacing w:line="240" w:lineRule="auto"/>
        <w:contextualSpacing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Looking forward</w:t>
      </w:r>
    </w:p>
    <w:p w14:paraId="4FB1EB89" w14:textId="77777777" w:rsidR="00E562E1" w:rsidRDefault="00E562E1" w:rsidP="00E562E1">
      <w:pPr>
        <w:spacing w:line="240" w:lineRule="auto"/>
        <w:contextualSpacing/>
        <w:rPr>
          <w:rFonts w:ascii="Cambria" w:hAnsi="Cambria"/>
          <w:b/>
          <w:bCs/>
        </w:rPr>
      </w:pPr>
    </w:p>
    <w:p w14:paraId="74B13A77" w14:textId="4CA777F6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t>Wednesday</w:t>
      </w:r>
    </w:p>
    <w:p w14:paraId="4E1CD18B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Chinua Achebe, “Dead Men’s Path,” </w:t>
      </w:r>
      <w:r w:rsidRPr="00E562E1">
        <w:rPr>
          <w:rFonts w:ascii="Cambria" w:hAnsi="Cambria"/>
          <w:i/>
          <w:iCs/>
        </w:rPr>
        <w:t>The Art</w:t>
      </w:r>
      <w:r w:rsidRPr="00E562E1">
        <w:rPr>
          <w:rFonts w:ascii="Cambria" w:hAnsi="Cambria"/>
        </w:rPr>
        <w:t xml:space="preserve"> pp. 562-65</w:t>
      </w:r>
    </w:p>
    <w:p w14:paraId="429FA8D3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Doris Lessing, “A Woman on a Roof,” </w:t>
      </w:r>
      <w:r w:rsidRPr="00E562E1">
        <w:rPr>
          <w:rFonts w:ascii="Cambria" w:hAnsi="Cambria"/>
          <w:i/>
          <w:iCs/>
        </w:rPr>
        <w:t>The Art</w:t>
      </w:r>
      <w:r w:rsidRPr="00E562E1">
        <w:rPr>
          <w:rFonts w:ascii="Cambria" w:hAnsi="Cambria"/>
        </w:rPr>
        <w:t xml:space="preserve"> pp. 538-45</w:t>
      </w:r>
    </w:p>
    <w:p w14:paraId="021C6CA4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“Characterization,” </w:t>
      </w:r>
      <w:r w:rsidRPr="00E562E1">
        <w:rPr>
          <w:rFonts w:ascii="Cambria" w:hAnsi="Cambria"/>
          <w:i/>
          <w:iCs/>
        </w:rPr>
        <w:t>The Art</w:t>
      </w:r>
      <w:r w:rsidRPr="00E562E1">
        <w:rPr>
          <w:rFonts w:ascii="Cambria" w:hAnsi="Cambria"/>
        </w:rPr>
        <w:t xml:space="preserve"> pp. 854-57</w:t>
      </w:r>
    </w:p>
    <w:p w14:paraId="178075B8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t>Reading Response 2 due</w:t>
      </w:r>
    </w:p>
    <w:p w14:paraId="3630D8C8" w14:textId="5E4FDDE1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lastRenderedPageBreak/>
        <w:t>Friday</w:t>
      </w:r>
    </w:p>
    <w:p w14:paraId="0AF93F56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William Faulkner, “A Rose for Emily,” </w:t>
      </w:r>
      <w:r w:rsidRPr="00E562E1">
        <w:rPr>
          <w:rFonts w:ascii="Cambria" w:hAnsi="Cambria"/>
          <w:i/>
          <w:iCs/>
        </w:rPr>
        <w:t>The Art</w:t>
      </w:r>
      <w:r w:rsidRPr="00E562E1">
        <w:rPr>
          <w:rFonts w:ascii="Cambria" w:hAnsi="Cambria"/>
        </w:rPr>
        <w:t xml:space="preserve"> pp. 238-45</w:t>
      </w:r>
    </w:p>
    <w:p w14:paraId="16FF6F15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Leslie Marmon Silko, “The Man to Send Rain Clouds,” </w:t>
      </w:r>
      <w:r w:rsidRPr="00E562E1">
        <w:rPr>
          <w:rFonts w:ascii="Cambria" w:hAnsi="Cambria"/>
          <w:i/>
          <w:iCs/>
        </w:rPr>
        <w:t xml:space="preserve">The Art </w:t>
      </w:r>
      <w:r w:rsidRPr="00E562E1">
        <w:rPr>
          <w:rFonts w:ascii="Cambria" w:hAnsi="Cambria"/>
        </w:rPr>
        <w:t>pp. 739-42</w:t>
      </w:r>
    </w:p>
    <w:p w14:paraId="60552BE1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</w:rPr>
        <w:t xml:space="preserve">“Point of View,” </w:t>
      </w:r>
      <w:r w:rsidRPr="00E562E1">
        <w:rPr>
          <w:rFonts w:ascii="Cambria" w:hAnsi="Cambria"/>
          <w:i/>
          <w:iCs/>
        </w:rPr>
        <w:t>The Art</w:t>
      </w:r>
      <w:r w:rsidRPr="00E562E1">
        <w:rPr>
          <w:rFonts w:ascii="Cambria" w:hAnsi="Cambria"/>
        </w:rPr>
        <w:t xml:space="preserve"> pp. 857-58</w:t>
      </w:r>
    </w:p>
    <w:p w14:paraId="3E8139DE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  <w:r w:rsidRPr="00E562E1">
        <w:rPr>
          <w:rFonts w:ascii="Cambria" w:hAnsi="Cambria"/>
          <w:b/>
          <w:bCs/>
        </w:rPr>
        <w:t>Paper 1: Digital Critical Edition due</w:t>
      </w:r>
    </w:p>
    <w:p w14:paraId="5B0B7EA9" w14:textId="77777777" w:rsidR="00E562E1" w:rsidRPr="00E562E1" w:rsidRDefault="00E562E1" w:rsidP="00E562E1">
      <w:pPr>
        <w:spacing w:line="240" w:lineRule="auto"/>
        <w:contextualSpacing/>
        <w:rPr>
          <w:rFonts w:ascii="Cambria" w:hAnsi="Cambria"/>
        </w:rPr>
      </w:pPr>
    </w:p>
    <w:sectPr w:rsidR="00E562E1" w:rsidRPr="00E562E1" w:rsidSect="00E56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704"/>
    <w:multiLevelType w:val="hybridMultilevel"/>
    <w:tmpl w:val="A8C28DEE"/>
    <w:lvl w:ilvl="0" w:tplc="7A822E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621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292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24C3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6BCD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72A8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425A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B64E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0A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09879E1"/>
    <w:multiLevelType w:val="hybridMultilevel"/>
    <w:tmpl w:val="0E9E152C"/>
    <w:lvl w:ilvl="0" w:tplc="9BA449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280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E064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BA91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B6F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61C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908F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B6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4A22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E1"/>
    <w:rsid w:val="002C536C"/>
    <w:rsid w:val="00E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22EE"/>
  <w15:chartTrackingRefBased/>
  <w15:docId w15:val="{A335DB8C-04EC-4DD9-9D75-F7852D25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ctorianweb.org/authors/braddon/repu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nweb.org/authors/braddon/chron.html" TargetMode="External"/><Relationship Id="rId5" Type="http://schemas.openxmlformats.org/officeDocument/2006/relationships/hyperlink" Target="http://www.victorianweb.org/authors/braddon/bi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Bowden</dc:creator>
  <cp:keywords/>
  <dc:description/>
  <cp:lastModifiedBy>Mary Bowden</cp:lastModifiedBy>
  <cp:revision>1</cp:revision>
  <dcterms:created xsi:type="dcterms:W3CDTF">2019-02-08T19:57:00Z</dcterms:created>
  <dcterms:modified xsi:type="dcterms:W3CDTF">2019-02-08T20:07:00Z</dcterms:modified>
</cp:coreProperties>
</file>